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E849">
      <w:pPr>
        <w:widowControl w:val="0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bookmarkEnd w:id="0"/>
    <w:p w14:paraId="1A7A34EF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 w14:paraId="58BF5DFF">
      <w:pPr>
        <w:widowControl w:val="0"/>
        <w:jc w:val="center"/>
        <w:rPr>
          <w:b/>
          <w:sz w:val="26"/>
          <w:szCs w:val="26"/>
        </w:rPr>
      </w:pPr>
    </w:p>
    <w:p w14:paraId="61EB39A6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 w14:paraId="7C7F00E2"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 w14:paraId="3D5B01EA">
      <w:pPr>
        <w:pStyle w:val="10"/>
        <w:ind w:firstLine="780" w:firstLineChars="3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u w:val="none"/>
          <w:lang w:val="ru-RU"/>
        </w:rPr>
        <w:t>Управление капитального строительства и градостроительной деятельности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 w14:paraId="0C451493"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u w:val="none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Проект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постановления администрации Богородского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муниципального округа Нижегородской области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«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Об утверждении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ru-RU"/>
        </w:rPr>
        <w:t>дизайн-кода исторического центра города Богородска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Нижегородской области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ru-RU"/>
        </w:rPr>
        <w:t>. Том 2. Архитектурный облик</w:t>
      </w:r>
      <w:r>
        <w:rPr>
          <w:rFonts w:hint="default" w:ascii="Times New Roman" w:hAnsi="Times New Roman" w:cs="Times New Roman"/>
          <w:sz w:val="26"/>
          <w:szCs w:val="26"/>
          <w:u w:val="none"/>
        </w:rPr>
        <w:t>»</w:t>
      </w:r>
      <w:r>
        <w:rPr>
          <w:rFonts w:hint="default" w:ascii="Times New Roman" w:hAnsi="Times New Roman" w:cs="Times New Roman"/>
          <w:sz w:val="26"/>
          <w:szCs w:val="26"/>
          <w:u w:val="none"/>
          <w:lang w:val="ru-RU"/>
        </w:rPr>
        <w:t>.</w:t>
      </w:r>
    </w:p>
    <w:p w14:paraId="51703AAB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 w14:paraId="7BFE9211"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 w14:paraId="0A13A97B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 w14:paraId="26347B92"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Об утверждении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ru-RU"/>
        </w:rPr>
        <w:t>дизайн-кода исторического центра города Богородска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Нижегородской области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ru-RU"/>
        </w:rPr>
        <w:t>. Том 2. Архитектурный облик</w:t>
      </w:r>
      <w:r>
        <w:rPr>
          <w:sz w:val="26"/>
          <w:szCs w:val="26"/>
          <w:vertAlign w:val="baseline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14:paraId="4F992930"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39812C"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 w14:paraId="20E9494A"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14:paraId="77AAFC76">
      <w:pPr>
        <w:widowControl w:val="0"/>
        <w:rPr>
          <w:sz w:val="26"/>
          <w:szCs w:val="26"/>
        </w:rPr>
      </w:pPr>
    </w:p>
    <w:p w14:paraId="23FEBE50">
      <w:pPr>
        <w:widowControl w:val="0"/>
        <w:rPr>
          <w:sz w:val="26"/>
          <w:szCs w:val="26"/>
        </w:rPr>
      </w:pPr>
    </w:p>
    <w:p w14:paraId="793565F7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 w14:paraId="12821050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 w14:paraId="1DA9464F"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 w14:paraId="6BF0B156"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 w14:paraId="3EC9D7D1"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E6047A"/>
    <w:rsid w:val="141D560F"/>
    <w:rsid w:val="146576C7"/>
    <w:rsid w:val="14CC1042"/>
    <w:rsid w:val="185A270C"/>
    <w:rsid w:val="1C6D2CB8"/>
    <w:rsid w:val="27763627"/>
    <w:rsid w:val="2BBE1284"/>
    <w:rsid w:val="2E455503"/>
    <w:rsid w:val="31332A3F"/>
    <w:rsid w:val="32B55370"/>
    <w:rsid w:val="338661D3"/>
    <w:rsid w:val="34CC3EB5"/>
    <w:rsid w:val="35B223FF"/>
    <w:rsid w:val="4C3F0D82"/>
    <w:rsid w:val="4D0D43BD"/>
    <w:rsid w:val="4F580083"/>
    <w:rsid w:val="506A1F9D"/>
    <w:rsid w:val="51692B3C"/>
    <w:rsid w:val="58F524A4"/>
    <w:rsid w:val="5A3B12F6"/>
    <w:rsid w:val="5BD72B6F"/>
    <w:rsid w:val="5FD478D5"/>
    <w:rsid w:val="61F0314D"/>
    <w:rsid w:val="6E4C0BA9"/>
    <w:rsid w:val="74230495"/>
    <w:rsid w:val="7C184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1</TotalTime>
  <ScaleCrop>false</ScaleCrop>
  <LinksUpToDate>false</LinksUpToDate>
  <CharactersWithSpaces>2108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2025-12-17T07:55:36Z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1049-12.2.0.20326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20585D22D54E4C07863D6244A80D3924_13</vt:lpwstr>
  </property>
</Properties>
</file>